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k="http://schemas.microsoft.com/office/drawing/2018/sketchyshapes" mc:Ignorable="w14 w15 w16se w16cid w16 w16cex wp14">
  <w:body>
    <w:p w:rsidRPr="00A03C8A" w:rsidR="00D524EF" w:rsidP="00D524EF" w:rsidRDefault="00BA7B3C" w14:paraId="72952EAF" w14:textId="099EFB5A">
      <w:pPr>
        <w:pStyle w:val="Title"/>
        <w:rPr>
          <w:color w:val="008272"/>
        </w:rPr>
      </w:pPr>
      <w:r w:rsidRPr="00A03C8A">
        <w:rPr>
          <w:color w:val="008272"/>
        </w:rPr>
        <w:t>Read Me First</w:t>
      </w:r>
    </w:p>
    <w:p w:rsidRPr="001B7A0B" w:rsidR="00D524EF" w:rsidP="00D524EF" w:rsidRDefault="009F276C" w14:paraId="361429A6" w14:textId="365F0179">
      <w:pPr>
        <w:pStyle w:val="Subtitle"/>
      </w:pPr>
      <w:r>
        <w:rPr>
          <w:rStyle w:val="SubtleEmphasis"/>
          <w:i w:val="0"/>
          <w:iCs w:val="0"/>
        </w:rPr>
        <w:t>Sell smarter with Dynamics 365 Sales</w:t>
      </w:r>
      <w:r w:rsidR="00D524EF">
        <w:t xml:space="preserve"> </w:t>
      </w:r>
      <w:r w:rsidR="00BA7B3C">
        <w:t>campaign materials</w:t>
      </w:r>
    </w:p>
    <w:p w:rsidRPr="00BA7B3C" w:rsidR="00D524EF" w:rsidP="00BA7B3C" w:rsidRDefault="00BA7B3C" w14:paraId="2F1AE6C7" w14:textId="2A533234">
      <w:pPr>
        <w:pStyle w:val="NoSpacing"/>
      </w:pPr>
      <w:r>
        <w:t>Welcome to the</w:t>
      </w:r>
      <w:r w:rsidR="002354C4">
        <w:t xml:space="preserve"> </w:t>
      </w:r>
      <w:r w:rsidR="009F276C">
        <w:rPr>
          <w:b/>
          <w:bCs/>
        </w:rPr>
        <w:t xml:space="preserve">Sell smarter with Dynamics 365 Sales </w:t>
      </w:r>
      <w:r>
        <w:t>campaign. The materials provided are intended to supplement your own marketing and sales efforts. While they are ready to be shared with customers immediately, we highly recommend that you customize the materials to include your own unique value proposition, solution story, branding, logos, and calls to action.</w:t>
      </w:r>
    </w:p>
    <w:p w:rsidRPr="00A03C8A" w:rsidR="00D524EF" w:rsidP="00D524EF" w:rsidRDefault="00BA7B3C" w14:paraId="7662A09D" w14:textId="05B9DF73">
      <w:pPr>
        <w:pStyle w:val="Heading1"/>
        <w:rPr>
          <w:color w:val="008272"/>
        </w:rPr>
      </w:pPr>
      <w:r w:rsidRPr="00A03C8A">
        <w:rPr>
          <w:color w:val="008272"/>
        </w:rPr>
        <w:t>Pitch Deck</w:t>
      </w:r>
    </w:p>
    <w:p w:rsidR="00BA7B3C" w:rsidP="00BA7B3C" w:rsidRDefault="00572BB7" w14:paraId="3D1EB143" w14:textId="6B6A521B">
      <w:r>
        <w:rPr>
          <w:noProof/>
        </w:rPr>
        <w:drawing>
          <wp:inline distT="0" distB="0" distL="0" distR="0" wp14:anchorId="34D8D372" wp14:editId="152F9F40">
            <wp:extent cx="1828800" cy="1025492"/>
            <wp:effectExtent l="19050" t="19050" r="19050" b="22860"/>
            <wp:docPr id="634624637" name="Picture 3" descr="A group of people sitting at a table using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828800" cy="1025492"/>
                    </a:xfrm>
                    <a:prstGeom prst="rect">
                      <a:avLst/>
                    </a:prstGeom>
                    <a:ln>
                      <a:solidFill>
                        <a:schemeClr val="tx1"/>
                      </a:solidFill>
                    </a:ln>
                  </pic:spPr>
                </pic:pic>
              </a:graphicData>
            </a:graphic>
          </wp:inline>
        </w:drawing>
      </w:r>
      <w:r w:rsidRPr="00BA7B3C" w:rsidR="00BA7B3C">
        <w:rPr>
          <w:noProof/>
        </w:rPr>
        <w:drawing>
          <wp:inline distT="0" distB="0" distL="0" distR="0" wp14:anchorId="4F365D25" wp14:editId="7D3D0EA9">
            <wp:extent cx="1828800" cy="1025495"/>
            <wp:effectExtent l="19050" t="19050" r="1905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28800" cy="1025495"/>
                    </a:xfrm>
                    <a:prstGeom prst="rect">
                      <a:avLst/>
                    </a:prstGeom>
                    <a:ln>
                      <a:solidFill>
                        <a:schemeClr val="tx1"/>
                      </a:solidFill>
                    </a:ln>
                  </pic:spPr>
                </pic:pic>
              </a:graphicData>
            </a:graphic>
          </wp:inline>
        </w:drawing>
      </w:r>
      <w:r w:rsidR="1E30CB96">
        <w:rPr/>
        <w:t xml:space="preserve"> </w:t>
      </w:r>
      <w:r w:rsidRPr="00BA7B3C" w:rsidR="00BA7B3C">
        <w:rPr>
          <w:noProof/>
        </w:rPr>
        <w:drawing>
          <wp:inline distT="0" distB="0" distL="0" distR="0" wp14:anchorId="77B7EBB4" wp14:editId="7DCD4DE4">
            <wp:extent cx="1828800" cy="1025495"/>
            <wp:effectExtent l="19050" t="19050" r="19050"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28800" cy="1025495"/>
                    </a:xfrm>
                    <a:prstGeom prst="rect">
                      <a:avLst/>
                    </a:prstGeom>
                    <a:ln>
                      <a:solidFill>
                        <a:schemeClr val="tx1"/>
                      </a:solidFill>
                    </a:ln>
                  </pic:spPr>
                </pic:pic>
              </a:graphicData>
            </a:graphic>
          </wp:inline>
        </w:drawing>
      </w:r>
    </w:p>
    <w:p w:rsidR="00BA7B3C" w:rsidP="00BA7B3C" w:rsidRDefault="00BA7B3C" w14:paraId="099E1700" w14:textId="224F3350">
      <w:r>
        <w:t xml:space="preserve">The pitch deck is intended to be used at customer-facing meetings, on calls, or for a </w:t>
      </w:r>
      <w:r w:rsidR="000F03C0">
        <w:t>w</w:t>
      </w:r>
      <w:r>
        <w:t xml:space="preserve">ebinar. It tells the story of the </w:t>
      </w:r>
      <w:r w:rsidR="009F276C">
        <w:rPr>
          <w:rStyle w:val="SubtleEmphasis"/>
          <w:b/>
          <w:bCs/>
          <w:i w:val="0"/>
          <w:iCs w:val="0"/>
        </w:rPr>
        <w:t>Sell smarter</w:t>
      </w:r>
      <w:r w:rsidR="002354C4">
        <w:t xml:space="preserve"> </w:t>
      </w:r>
      <w:r>
        <w:t xml:space="preserve">campaign and details the benefits of the </w:t>
      </w:r>
      <w:r w:rsidR="009F276C">
        <w:t xml:space="preserve">Dynamics 365 Sales solution. </w:t>
      </w:r>
    </w:p>
    <w:p w:rsidRPr="00BA7B3C" w:rsidR="00BA7B3C" w:rsidP="00BA7B3C" w:rsidRDefault="00BA7B3C" w14:paraId="46BDF89F" w14:textId="5AD0BAC3">
      <w:r>
        <w:t xml:space="preserve">Be sure to add your own value proposition, detail your solutions </w:t>
      </w:r>
      <w:r w:rsidR="00F660AC">
        <w:t>and/</w:t>
      </w:r>
      <w:r>
        <w:t xml:space="preserve">or services, share your own customer case studies or testimonials, and include your contact information and branding throughout, so your customer </w:t>
      </w:r>
      <w:r w:rsidR="00137893">
        <w:t xml:space="preserve">and prospect </w:t>
      </w:r>
      <w:r>
        <w:t>recognize your role in implementing a</w:t>
      </w:r>
      <w:r w:rsidR="009F276C">
        <w:t xml:space="preserve"> Dynamics 365 Sales solution.</w:t>
      </w:r>
      <w:r>
        <w:t xml:space="preserve"> </w:t>
      </w:r>
    </w:p>
    <w:p w:rsidRPr="00A03C8A" w:rsidR="00BA7B3C" w:rsidP="00BA7B3C" w:rsidRDefault="00BA7B3C" w14:paraId="72E7F286" w14:textId="3DB1E79E">
      <w:pPr>
        <w:pStyle w:val="Heading1"/>
        <w:rPr>
          <w:color w:val="008272"/>
        </w:rPr>
      </w:pPr>
      <w:r w:rsidRPr="00A03C8A">
        <w:rPr>
          <w:color w:val="008272"/>
        </w:rPr>
        <w:t>Solution Overview</w:t>
      </w:r>
    </w:p>
    <w:p w:rsidR="00BA7B3C" w:rsidP="00BA7B3C" w:rsidRDefault="00BA7B3C" w14:paraId="2E13943D" w14:textId="53F521D0">
      <w:r w:rsidRPr="00BA7B3C">
        <w:rPr>
          <w:noProof/>
        </w:rPr>
        <w:drawing>
          <wp:inline distT="0" distB="0" distL="0" distR="0" wp14:anchorId="0D069C54" wp14:editId="1A32D258">
            <wp:extent cx="1820524" cy="2366682"/>
            <wp:effectExtent l="19050" t="19050" r="27940" b="146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20524" cy="2366682"/>
                    </a:xfrm>
                    <a:prstGeom prst="rect">
                      <a:avLst/>
                    </a:prstGeom>
                    <a:ln>
                      <a:solidFill>
                        <a:schemeClr val="tx1"/>
                      </a:solidFill>
                    </a:ln>
                  </pic:spPr>
                </pic:pic>
              </a:graphicData>
            </a:graphic>
          </wp:inline>
        </w:drawing>
      </w:r>
      <w:r w:rsidR="1E30CB96">
        <w:rPr/>
        <w:t xml:space="preserve"> </w:t>
      </w:r>
      <w:r w:rsidRPr="00BA7B3C">
        <w:rPr>
          <w:noProof/>
        </w:rPr>
        <w:drawing>
          <wp:inline distT="0" distB="0" distL="0" distR="0" wp14:anchorId="7E1EFCDA" wp14:editId="382ED9C2">
            <wp:extent cx="1820524" cy="2366682"/>
            <wp:effectExtent l="19050" t="19050" r="27940" b="146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20524" cy="2366682"/>
                    </a:xfrm>
                    <a:prstGeom prst="rect">
                      <a:avLst/>
                    </a:prstGeom>
                    <a:ln>
                      <a:solidFill>
                        <a:schemeClr val="tx1"/>
                      </a:solidFill>
                    </a:ln>
                  </pic:spPr>
                </pic:pic>
              </a:graphicData>
            </a:graphic>
          </wp:inline>
        </w:drawing>
      </w:r>
    </w:p>
    <w:p w:rsidR="00BA7B3C" w:rsidP="00BA7B3C" w:rsidRDefault="00BA7B3C" w14:paraId="6D0F601B" w14:textId="4F55EA8A">
      <w:r>
        <w:lastRenderedPageBreak/>
        <w:t xml:space="preserve">The solution overview can be printed as a leave-behind after a customer meeting, a handout at a customer event, or attached as a PDF to an email. </w:t>
      </w:r>
    </w:p>
    <w:p w:rsidR="00BA7B3C" w:rsidP="00BA7B3C" w:rsidRDefault="00BA7B3C" w14:paraId="26BF4FAB" w14:textId="0336974B">
      <w:r>
        <w:t xml:space="preserve">It is designed for you to add your logo, </w:t>
      </w:r>
      <w:r w:rsidR="007F7B27">
        <w:t xml:space="preserve">call to action, and contact information. Feel free to modify any of the copy to include your unique solution or service messaging to enhance the </w:t>
      </w:r>
      <w:r w:rsidR="009F276C">
        <w:rPr>
          <w:b/>
          <w:bCs/>
        </w:rPr>
        <w:t xml:space="preserve">Sell smarter with Dynamics 365 Sales </w:t>
      </w:r>
      <w:r w:rsidR="007F7B27">
        <w:t>story.</w:t>
      </w:r>
    </w:p>
    <w:p w:rsidRPr="00A03C8A" w:rsidR="00BA7B3C" w:rsidP="00BA7B3C" w:rsidRDefault="00BA7B3C" w14:paraId="3C029C28" w14:textId="0DF6FA85">
      <w:pPr>
        <w:pStyle w:val="Heading1"/>
        <w:rPr>
          <w:color w:val="008272"/>
        </w:rPr>
      </w:pPr>
      <w:r w:rsidRPr="00A03C8A">
        <w:rPr>
          <w:color w:val="008272"/>
        </w:rPr>
        <w:t>Infographic</w:t>
      </w:r>
    </w:p>
    <w:p w:rsidR="007F7B27" w:rsidP="006D51A0" w:rsidRDefault="007F7B27" w14:paraId="3A0896F9" w14:textId="28A2EC14">
      <w:r>
        <w:rPr>
          <w:noProof/>
        </w:rPr>
        <w:drawing>
          <wp:anchor distT="0" distB="0" distL="114300" distR="114300" simplePos="0" relativeHeight="251658240" behindDoc="1" locked="0" layoutInCell="1" allowOverlap="1" wp14:anchorId="7CABA1D7" wp14:editId="3637C8C0">
            <wp:simplePos x="0" y="0"/>
            <wp:positionH relativeFrom="margin">
              <wp:align>left</wp:align>
            </wp:positionH>
            <wp:positionV relativeFrom="paragraph">
              <wp:posOffset>20320</wp:posOffset>
            </wp:positionV>
            <wp:extent cx="971550" cy="2733675"/>
            <wp:effectExtent l="19050" t="19050" r="19050" b="9525"/>
            <wp:wrapTight wrapText="bothSides">
              <wp:wrapPolygon edited="0">
                <wp:start x="-424" y="-151"/>
                <wp:lineTo x="-424" y="21525"/>
                <wp:lineTo x="21600" y="21525"/>
                <wp:lineTo x="21600" y="-151"/>
                <wp:lineTo x="-424" y="-15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bwMode="auto">
                    <a:xfrm>
                      <a:off x="0" y="0"/>
                      <a:ext cx="971973" cy="2733675"/>
                    </a:xfrm>
                    <a:prstGeom prst="rect">
                      <a:avLst/>
                    </a:prstGeom>
                    <a:ln w="9525" cap="flat" cmpd="sng" algn="ctr">
                      <a:solidFill>
                        <a:srgbClr val="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329DF121">
        <w:rPr/>
        <w:t>The infographic is a digital asset that can be shared in social media posts, posted to your website, or linked to from a blog post. Be sure to customize the copy when you post this asset to include your unique value proposition</w:t>
      </w:r>
      <w:r w:rsidR="5E0E1944">
        <w:rPr/>
        <w:t xml:space="preserve"> </w:t>
      </w:r>
      <w:r w:rsidR="2E109759">
        <w:rPr/>
        <w:t xml:space="preserve">and call to action. </w:t>
      </w:r>
      <w:r w:rsidR="1AB99B2E">
        <w:rPr/>
        <w:t xml:space="preserve">You can </w:t>
      </w:r>
      <w:r w:rsidR="5D5C3BEC">
        <w:rPr/>
        <w:t>add your</w:t>
      </w:r>
      <w:r w:rsidR="5E0E1944">
        <w:rPr/>
        <w:t xml:space="preserve"> logo</w:t>
      </w:r>
      <w:r w:rsidR="3F5E534B">
        <w:rPr/>
        <w:t xml:space="preserve"> and </w:t>
      </w:r>
      <w:r w:rsidR="5E0E1944">
        <w:rPr/>
        <w:t>contact information in the white space at the bottom</w:t>
      </w:r>
      <w:r w:rsidR="5E0E1944">
        <w:rPr/>
        <w:t xml:space="preserve">. </w:t>
      </w:r>
      <w:r w:rsidR="329DF121">
        <w:rPr/>
        <w:t xml:space="preserve"> </w:t>
      </w:r>
    </w:p>
    <w:p w:rsidR="007F7B27" w:rsidP="007F7B27" w:rsidRDefault="007F7B27" w14:paraId="3DB6380D" w14:textId="77777777">
      <w:pPr>
        <w:pStyle w:val="NoSpacing"/>
      </w:pPr>
    </w:p>
    <w:p w:rsidR="007F7B27" w:rsidP="007F7B27" w:rsidRDefault="007F7B27" w14:paraId="68449758" w14:textId="57AA2D98">
      <w:pPr>
        <w:pStyle w:val="NoSpacing"/>
      </w:pPr>
      <w:r>
        <w:t xml:space="preserve">However, the infographic was created in Adobe Illustrator, so you will not be able to edit it unless you have access to Adobe software. Most designers have access to Adobe tools and can edit this file, but you will not be able to open the file unless you have the software installed. Do not let that keep you from posting this asset and customizing the associated copy on your platform of choice. </w:t>
      </w:r>
    </w:p>
    <w:p w:rsidR="006D51A0" w:rsidP="00BA7B3C" w:rsidRDefault="006D51A0" w14:paraId="2045E848" w14:textId="77777777">
      <w:pPr>
        <w:pStyle w:val="Heading1"/>
      </w:pPr>
    </w:p>
    <w:p w:rsidRPr="00A03C8A" w:rsidR="00BA7B3C" w:rsidP="00BA7B3C" w:rsidRDefault="00BA7B3C" w14:paraId="7A0BDA29" w14:textId="5C94554D">
      <w:pPr>
        <w:pStyle w:val="Heading1"/>
        <w:rPr>
          <w:color w:val="008272"/>
        </w:rPr>
      </w:pPr>
      <w:r w:rsidRPr="00A03C8A">
        <w:rPr>
          <w:color w:val="008272"/>
        </w:rPr>
        <w:t>Emails</w:t>
      </w:r>
    </w:p>
    <w:p w:rsidR="007F7B27" w:rsidP="00BA7B3C" w:rsidRDefault="007F7B27" w14:paraId="49716283" w14:textId="082D205E">
      <w:r>
        <w:rPr>
          <w:noProof/>
        </w:rPr>
        <w:drawing>
          <wp:inline distT="0" distB="0" distL="0" distR="0" wp14:anchorId="7B32DEF8" wp14:editId="06099A90">
            <wp:extent cx="3568946" cy="2635530"/>
            <wp:effectExtent l="19050" t="1905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bwMode="auto">
                    <a:xfrm>
                      <a:off x="0" y="0"/>
                      <a:ext cx="3568946" cy="2635530"/>
                    </a:xfrm>
                    <a:prstGeom prst="rect">
                      <a:avLst/>
                    </a:prstGeom>
                    <a:ln w="9525" cap="flat" cmpd="sng" algn="ctr">
                      <a:solidFill>
                        <a:srgbClr val="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rsidR="00BA7B3C" w:rsidP="00BA7B3C" w:rsidRDefault="000C17EB" w14:paraId="0569EB51" w14:textId="37638B73">
      <w:r>
        <w:rPr>
          <w:rStyle w:val="normaltextrun"/>
          <w:rFonts w:ascii="Segoe UI" w:hAnsi="Segoe UI" w:cs="Segoe UI"/>
          <w:color w:val="000000"/>
          <w:shd w:val="clear" w:color="auto" w:fill="FFFFFF"/>
        </w:rPr>
        <w:lastRenderedPageBreak/>
        <w:t>We have provided three nurture emails addressed to either the Business Decision Maker (BDM) or an IT Decision Maker (ITDM) audience. </w:t>
      </w:r>
      <w:r w:rsidR="006D51A0">
        <w:t>The emails are formatted in Word to make them easy to copy and paste into your email platform of choice. We recommend using a digital automation platform that will enable you to track metrics and plan a nurture email flow.</w:t>
      </w:r>
    </w:p>
    <w:p w:rsidRPr="00A03C8A" w:rsidR="00BA7B3C" w:rsidP="00BA7B3C" w:rsidRDefault="00BA7B3C" w14:paraId="66F4C2F0" w14:textId="69DE3962">
      <w:pPr>
        <w:pStyle w:val="Heading1"/>
        <w:rPr>
          <w:color w:val="008272"/>
        </w:rPr>
      </w:pPr>
      <w:r w:rsidRPr="4EA9E69C" w:rsidR="00BA7B3C">
        <w:rPr>
          <w:color w:val="008272"/>
        </w:rPr>
        <w:t>Social Copy</w:t>
      </w:r>
    </w:p>
    <w:p w:rsidR="00BA7B3C" w:rsidP="4EA9E69C" w:rsidRDefault="006D51A0" w14:paraId="0D4C49AF" w14:textId="1CCE3A0B">
      <w:pPr>
        <w:pStyle w:val="Normal"/>
        <w:bidi w:val="0"/>
        <w:spacing w:before="0" w:beforeAutospacing="off" w:after="160" w:afterAutospacing="off" w:line="259" w:lineRule="auto"/>
        <w:ind w:left="0" w:right="0"/>
        <w:jc w:val="left"/>
      </w:pPr>
      <w:r>
        <w:rPr>
          <w:noProof/>
        </w:rPr>
        <w:drawing>
          <wp:inline distT="0" distB="0" distL="0" distR="0" wp14:anchorId="319F726F" wp14:editId="262DA7A3">
            <wp:extent cx="4904953" cy="2013227"/>
            <wp:effectExtent l="19050" t="19050" r="10160" b="254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bwMode="auto">
                    <a:xfrm>
                      <a:off x="0" y="0"/>
                      <a:ext cx="4904953" cy="201322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6D51A0" w:rsidP="57EEC629" w:rsidRDefault="006D51A0" w14:paraId="373A1185" w14:textId="51E51525">
      <w:pPr>
        <w:pStyle w:val="Normal"/>
      </w:pPr>
      <w:r w:rsidR="006D51A0">
        <w:rPr/>
        <w:t xml:space="preserve">There are three social media banners included in the </w:t>
      </w:r>
      <w:r w:rsidRPr="57EEC629" w:rsidR="009F276C">
        <w:rPr>
          <w:b w:val="1"/>
          <w:bCs w:val="1"/>
        </w:rPr>
        <w:t>Sell smarter with Dynamics 365 Sales</w:t>
      </w:r>
      <w:r w:rsidR="002354C4">
        <w:rPr/>
        <w:t xml:space="preserve"> </w:t>
      </w:r>
      <w:r w:rsidR="006D51A0">
        <w:rPr/>
        <w:t xml:space="preserve">bill of materials. Each has been optimized for both LinkedIn and Twitter. Please be sure to post the right graphic to each platform to ensure it displays correctly. </w:t>
      </w:r>
    </w:p>
    <w:p w:rsidR="006D51A0" w:rsidP="57EEC629" w:rsidRDefault="006D51A0" w14:paraId="2E9566C1" w14:textId="7877D961">
      <w:pPr>
        <w:pStyle w:val="Normal"/>
      </w:pPr>
      <w:r w:rsidRPr="1B8A71B4" w:rsidR="6724020F">
        <w:rPr>
          <w:rFonts w:ascii="Segoe UI" w:hAnsi="Segoe UI" w:eastAsia="Segoe UI" w:cs="Segoe UI"/>
          <w:noProof w:val="0"/>
          <w:sz w:val="22"/>
          <w:szCs w:val="22"/>
          <w:lang w:val="en-US"/>
        </w:rPr>
        <w:t xml:space="preserve">(Note: The </w:t>
      </w:r>
      <w:r w:rsidRPr="1B8A71B4" w:rsidR="0802B832">
        <w:rPr>
          <w:rFonts w:ascii="Segoe UI" w:hAnsi="Segoe UI" w:eastAsia="Segoe UI" w:cs="Segoe UI"/>
          <w:noProof w:val="0"/>
          <w:sz w:val="22"/>
          <w:szCs w:val="22"/>
          <w:lang w:val="en-US"/>
        </w:rPr>
        <w:t>image</w:t>
      </w:r>
      <w:r w:rsidRPr="1B8A71B4" w:rsidR="6724020F">
        <w:rPr>
          <w:rFonts w:ascii="Segoe UI" w:hAnsi="Segoe UI" w:eastAsia="Segoe UI" w:cs="Segoe UI"/>
          <w:noProof w:val="0"/>
          <w:sz w:val="22"/>
          <w:szCs w:val="22"/>
          <w:lang w:val="en-US"/>
        </w:rPr>
        <w:t xml:space="preserve"> files are included in a .zip file, which is embedded in the first page of social copy document. Please do not copy the banners directly from the Word document.)</w:t>
      </w:r>
    </w:p>
    <w:p w:rsidR="00C82868" w:rsidP="00BA7B3C" w:rsidRDefault="006D51A0" w14:paraId="0F88BA7F" w14:textId="27384C4F">
      <w:r>
        <w:t xml:space="preserve">Each banner has recommended social media copy included. Please customize the copy to include your unique value proposition, service offering, call to action, or link to your </w:t>
      </w:r>
      <w:r w:rsidR="009F276C">
        <w:t>Dynamics 365 Sales</w:t>
      </w:r>
      <w:r w:rsidR="00325314">
        <w:t xml:space="preserve"> </w:t>
      </w:r>
      <w:r>
        <w:t xml:space="preserve">landing page. </w:t>
      </w:r>
    </w:p>
    <w:p w:rsidR="0058612C" w:rsidP="0058612C" w:rsidRDefault="0058612C" w14:paraId="7A53E307" w14:textId="341E50E1">
      <w:pPr>
        <w:pStyle w:val="Heading1"/>
        <w:rPr>
          <w:color w:val="008272"/>
        </w:rPr>
      </w:pPr>
      <w:r w:rsidRPr="00A03C8A">
        <w:rPr>
          <w:color w:val="008272"/>
        </w:rPr>
        <w:t>S</w:t>
      </w:r>
      <w:r w:rsidR="009F7E55">
        <w:rPr>
          <w:color w:val="008272"/>
        </w:rPr>
        <w:t>ales</w:t>
      </w:r>
      <w:r w:rsidRPr="00A03C8A">
        <w:rPr>
          <w:color w:val="008272"/>
        </w:rPr>
        <w:t xml:space="preserve"> </w:t>
      </w:r>
      <w:r w:rsidR="009F7E55">
        <w:rPr>
          <w:color w:val="008272"/>
        </w:rPr>
        <w:t>Script</w:t>
      </w:r>
    </w:p>
    <w:p w:rsidR="0058612C" w:rsidP="00BA7B3C" w:rsidRDefault="00156ADA" w14:paraId="0F47B2D7" w14:textId="4D7B1A33">
      <w:r>
        <w:t xml:space="preserve">Leverage </w:t>
      </w:r>
      <w:r w:rsidR="000E260D">
        <w:t xml:space="preserve">these </w:t>
      </w:r>
      <w:r w:rsidR="00A22E1C">
        <w:t>talking points</w:t>
      </w:r>
      <w:r w:rsidR="000E260D">
        <w:t xml:space="preserve"> while on sales calls</w:t>
      </w:r>
      <w:r w:rsidR="00A22E1C">
        <w:t xml:space="preserve"> to address customer pains and understand where they are in their CRM buying journey. </w:t>
      </w:r>
      <w:r w:rsidR="00811063">
        <w:t xml:space="preserve">This script will help your salespeople </w:t>
      </w:r>
      <w:r w:rsidR="000F3F9A">
        <w:t xml:space="preserve">target the right </w:t>
      </w:r>
      <w:r w:rsidR="00EA5089">
        <w:t>customers</w:t>
      </w:r>
      <w:r w:rsidR="000F3F9A">
        <w:t xml:space="preserve"> who are likely to buy</w:t>
      </w:r>
      <w:r w:rsidR="00836CBB">
        <w:t xml:space="preserve"> </w:t>
      </w:r>
      <w:r w:rsidR="00EA5089">
        <w:t xml:space="preserve">a Dynamics 365 Sales solution </w:t>
      </w:r>
      <w:r w:rsidR="00836CBB">
        <w:t xml:space="preserve">and </w:t>
      </w:r>
      <w:r w:rsidR="00356F1A">
        <w:t xml:space="preserve">will offer guidance around how to nurture </w:t>
      </w:r>
      <w:r w:rsidR="008E2748">
        <w:t xml:space="preserve">those prospects </w:t>
      </w:r>
      <w:r w:rsidR="00A84DE6">
        <w:t xml:space="preserve">with </w:t>
      </w:r>
      <w:r w:rsidR="000E3B53">
        <w:t xml:space="preserve">open-ended questions </w:t>
      </w:r>
      <w:r w:rsidR="00A84DE6">
        <w:t xml:space="preserve">and </w:t>
      </w:r>
      <w:r w:rsidR="008E2748">
        <w:t>solution proof points</w:t>
      </w:r>
      <w:proofErr w:type="gramStart"/>
      <w:r w:rsidR="008E2748">
        <w:t xml:space="preserve">. </w:t>
      </w:r>
      <w:r w:rsidR="00A84DE6">
        <w:t xml:space="preserve"> </w:t>
      </w:r>
      <w:proofErr w:type="gramEnd"/>
      <w:r w:rsidR="00A84DE6">
        <w:t xml:space="preserve"> </w:t>
      </w:r>
    </w:p>
    <w:p w:rsidR="00225BE3" w:rsidP="00BA7B3C" w:rsidRDefault="009F1D48" w14:paraId="14A1D81C" w14:textId="3E200345">
      <w:r>
        <w:rPr>
          <w:noProof/>
        </w:rPr>
        <w:drawing>
          <wp:inline distT="0" distB="0" distL="0" distR="0" wp14:anchorId="3B2A5F3F" wp14:editId="5413C313">
            <wp:extent cx="1773623" cy="1371600"/>
            <wp:effectExtent l="19050" t="19050" r="17145" b="19050"/>
            <wp:docPr id="206149737" name="Picture 2" descr="Two people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1773623" cy="1371600"/>
                    </a:xfrm>
                    <a:prstGeom prst="rect">
                      <a:avLst/>
                    </a:prstGeom>
                    <a:ln>
                      <a:solidFill>
                        <a:schemeClr val="tx1"/>
                      </a:solidFill>
                    </a:ln>
                  </pic:spPr>
                </pic:pic>
              </a:graphicData>
            </a:graphic>
          </wp:inline>
        </w:drawing>
      </w:r>
      <w:r w:rsidR="13AA9E39">
        <w:rPr/>
        <w:t xml:space="preserve"> </w:t>
      </w:r>
      <w:r w:rsidR="007D023B">
        <w:rPr>
          <w:noProof/>
        </w:rPr>
        <w:drawing>
          <wp:inline distT="0" distB="0" distL="0" distR="0" wp14:anchorId="1F1C1265" wp14:editId="33E7E040">
            <wp:extent cx="1773623" cy="1371600"/>
            <wp:effectExtent l="19050" t="19050" r="17145" b="19050"/>
            <wp:docPr id="86776912" name="Picture 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1773623" cy="1371600"/>
                    </a:xfrm>
                    <a:prstGeom prst="rect">
                      <a:avLst/>
                    </a:prstGeom>
                    <a:ln>
                      <a:solidFill>
                        <a:schemeClr val="tx1"/>
                      </a:solidFill>
                    </a:ln>
                  </pic:spPr>
                </pic:pic>
              </a:graphicData>
            </a:graphic>
          </wp:inline>
        </w:drawing>
      </w:r>
      <w:r w:rsidR="13AA9E39">
        <w:rPr/>
        <w:t xml:space="preserve"> </w:t>
      </w:r>
      <w:r w:rsidR="007D023B">
        <w:rPr>
          <w:noProof/>
        </w:rPr>
        <w:drawing>
          <wp:inline distT="0" distB="0" distL="0" distR="0" wp14:anchorId="7045C69D" wp14:editId="4586B539">
            <wp:extent cx="1773623" cy="1371600"/>
            <wp:effectExtent l="19050" t="19050" r="17145" b="19050"/>
            <wp:docPr id="734996929" name="Picture 1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9">
                      <a:extLst>
                        <a:ext uri="{28A0092B-C50C-407E-A947-70E740481C1C}">
                          <a14:useLocalDpi xmlns:a14="http://schemas.microsoft.com/office/drawing/2010/main" val="0"/>
                        </a:ext>
                      </a:extLst>
                    </a:blip>
                    <a:stretch>
                      <a:fillRect/>
                    </a:stretch>
                  </pic:blipFill>
                  <pic:spPr>
                    <a:xfrm>
                      <a:off x="0" y="0"/>
                      <a:ext cx="1773623" cy="1371600"/>
                    </a:xfrm>
                    <a:prstGeom prst="rect">
                      <a:avLst/>
                    </a:prstGeom>
                    <a:ln>
                      <a:solidFill>
                        <a:schemeClr val="tx1"/>
                      </a:solidFill>
                    </a:ln>
                  </pic:spPr>
                </pic:pic>
              </a:graphicData>
            </a:graphic>
          </wp:inline>
        </w:drawing>
      </w:r>
    </w:p>
    <w:p w:rsidRPr="00C82868" w:rsidR="00C82868" w:rsidP="00C6571A" w:rsidRDefault="00C82868" w14:paraId="1491857D" w14:textId="5D91A169">
      <w:pPr>
        <w:pStyle w:val="Heading1"/>
        <w:rPr>
          <w:rFonts w:ascii="Segoe UI" w:hAnsi="Segoe UI" w:cs="Segoe UI"/>
          <w:sz w:val="18"/>
          <w:szCs w:val="18"/>
        </w:rPr>
      </w:pPr>
      <w:r w:rsidRPr="00C82868">
        <w:rPr>
          <w:rStyle w:val="normaltextrun"/>
          <w:rFonts w:ascii="Segoe UI Semibold" w:hAnsi="Segoe UI Semibold" w:cs="Segoe UI Semibold"/>
          <w:color w:val="008272"/>
        </w:rPr>
        <w:lastRenderedPageBreak/>
        <w:t>Additional Resources </w:t>
      </w:r>
      <w:r w:rsidRPr="00C82868">
        <w:rPr>
          <w:rStyle w:val="eop"/>
          <w:rFonts w:ascii="Segoe UI Semibold" w:hAnsi="Segoe UI Semibold" w:cs="Segoe UI Semibold"/>
          <w:color w:val="008272"/>
        </w:rPr>
        <w:t> </w:t>
      </w:r>
    </w:p>
    <w:p w:rsidRPr="00C82868" w:rsidR="00C82868" w:rsidP="00C82868" w:rsidRDefault="00C82868" w14:paraId="18A888B7" w14:textId="164B5590">
      <w:pPr>
        <w:pStyle w:val="paragraph"/>
        <w:spacing w:before="0" w:beforeAutospacing="0" w:after="0" w:afterAutospacing="0"/>
        <w:textAlignment w:val="baseline"/>
        <w:rPr>
          <w:rFonts w:ascii="Segoe UI" w:hAnsi="Segoe UI" w:cs="Segoe UI"/>
          <w:sz w:val="22"/>
          <w:szCs w:val="22"/>
        </w:rPr>
      </w:pPr>
      <w:r>
        <w:rPr>
          <w:rStyle w:val="normaltextrun"/>
          <w:rFonts w:ascii="Segoe UI" w:hAnsi="Segoe UI" w:cs="Segoe UI"/>
          <w:sz w:val="22"/>
          <w:szCs w:val="22"/>
        </w:rPr>
        <w:t xml:space="preserve">While the resources above are intended to supplement your own marketing and sales efforts and help your organization capture new customers, we would </w:t>
      </w:r>
      <w:r w:rsidR="0033702F">
        <w:rPr>
          <w:rStyle w:val="normaltextrun"/>
          <w:rFonts w:ascii="Segoe UI" w:hAnsi="Segoe UI" w:cs="Segoe UI"/>
          <w:sz w:val="22"/>
          <w:szCs w:val="22"/>
        </w:rPr>
        <w:t xml:space="preserve">also </w:t>
      </w:r>
      <w:r>
        <w:rPr>
          <w:rStyle w:val="normaltextrun"/>
          <w:rFonts w:ascii="Segoe UI" w:hAnsi="Segoe UI" w:cs="Segoe UI"/>
          <w:sz w:val="22"/>
          <w:szCs w:val="22"/>
        </w:rPr>
        <w:t>like to highlight additional resources designed to support your organization no matter where you are with your Dynamics 365 practice. </w:t>
      </w:r>
      <w:r>
        <w:rPr>
          <w:rStyle w:val="eop"/>
          <w:rFonts w:ascii="Segoe UI" w:hAnsi="Segoe UI" w:cs="Segoe UI"/>
          <w:sz w:val="22"/>
          <w:szCs w:val="22"/>
        </w:rPr>
        <w:t> </w:t>
      </w:r>
    </w:p>
    <w:p w:rsidRPr="00C82868" w:rsidR="00C82868" w:rsidP="0079318B" w:rsidRDefault="00C82868" w14:paraId="627D303F" w14:textId="2968C18B">
      <w:pPr>
        <w:pStyle w:val="NormalWeb"/>
        <w:numPr>
          <w:ilvl w:val="0"/>
          <w:numId w:val="3"/>
        </w:numPr>
        <w:spacing w:before="0" w:after="0" w:afterAutospacing="0"/>
        <w:textAlignment w:val="baseline"/>
        <w:rPr>
          <w:rFonts w:asciiTheme="minorHAnsi" w:hAnsiTheme="minorHAnsi" w:cstheme="minorHAnsi"/>
          <w:color w:val="201F1E"/>
          <w:sz w:val="22"/>
          <w:szCs w:val="22"/>
        </w:rPr>
      </w:pPr>
      <w:r w:rsidRPr="00C82868">
        <w:rPr>
          <w:rFonts w:asciiTheme="minorHAnsi" w:hAnsiTheme="minorHAnsi" w:cstheme="minorHAnsi"/>
          <w:color w:val="201F1E"/>
          <w:sz w:val="22"/>
          <w:szCs w:val="22"/>
          <w:bdr w:val="none" w:color="auto" w:sz="0" w:space="0" w:frame="1"/>
        </w:rPr>
        <w:t>Check out the </w:t>
      </w:r>
      <w:hyperlink w:tgtFrame="_blank" w:history="1" r:id="rId20">
        <w:r w:rsidRPr="00C82868">
          <w:rPr>
            <w:rStyle w:val="Hyperlink"/>
            <w:rFonts w:asciiTheme="minorHAnsi" w:hAnsiTheme="minorHAnsi" w:cstheme="minorHAnsi"/>
            <w:color w:val="4472C4"/>
            <w:sz w:val="22"/>
            <w:szCs w:val="22"/>
            <w:bdr w:val="none" w:color="auto" w:sz="0" w:space="0" w:frame="1"/>
          </w:rPr>
          <w:t>US SMB Dynamics 365 Sales Landing Page</w:t>
        </w:r>
      </w:hyperlink>
      <w:r w:rsidRPr="00C82868">
        <w:rPr>
          <w:rFonts w:asciiTheme="minorHAnsi" w:hAnsiTheme="minorHAnsi" w:cstheme="minorHAnsi"/>
          <w:color w:val="201F1E"/>
          <w:sz w:val="22"/>
          <w:szCs w:val="22"/>
          <w:bdr w:val="none" w:color="auto" w:sz="0" w:space="0" w:frame="1"/>
        </w:rPr>
        <w:t> for technical, sales, and marketing resources related to Dynamics 365 Sales. </w:t>
      </w:r>
    </w:p>
    <w:p w:rsidRPr="00C82868" w:rsidR="00C82868" w:rsidP="0079318B" w:rsidRDefault="000C17EB" w14:paraId="77B0C224" w14:textId="6D6B95FB">
      <w:pPr>
        <w:pStyle w:val="NormalWeb"/>
        <w:numPr>
          <w:ilvl w:val="0"/>
          <w:numId w:val="3"/>
        </w:numPr>
        <w:spacing w:before="0" w:after="0" w:afterAutospacing="0"/>
        <w:textAlignment w:val="baseline"/>
        <w:rPr>
          <w:rFonts w:asciiTheme="minorHAnsi" w:hAnsiTheme="minorHAnsi" w:cstheme="minorHAnsi"/>
          <w:color w:val="201F1E"/>
          <w:sz w:val="22"/>
          <w:szCs w:val="22"/>
        </w:rPr>
      </w:pPr>
      <w:hyperlink w:tgtFrame="_blank" w:history="1" r:id="rId21">
        <w:r w:rsidRPr="00C82868" w:rsidR="00C82868">
          <w:rPr>
            <w:rStyle w:val="Hyperlink"/>
            <w:rFonts w:asciiTheme="minorHAnsi" w:hAnsiTheme="minorHAnsi" w:cstheme="minorHAnsi"/>
            <w:sz w:val="22"/>
            <w:szCs w:val="22"/>
            <w:bdr w:val="none" w:color="auto" w:sz="0" w:space="0" w:frame="1"/>
          </w:rPr>
          <w:t>Read the e</w:t>
        </w:r>
        <w:r w:rsidR="00921612">
          <w:rPr>
            <w:rStyle w:val="Hyperlink"/>
            <w:rFonts w:asciiTheme="minorHAnsi" w:hAnsiTheme="minorHAnsi" w:cstheme="minorHAnsi"/>
            <w:sz w:val="22"/>
            <w:szCs w:val="22"/>
            <w:bdr w:val="none" w:color="auto" w:sz="0" w:space="0" w:frame="1"/>
          </w:rPr>
          <w:t>-</w:t>
        </w:r>
        <w:r w:rsidRPr="00C82868" w:rsidR="00C82868">
          <w:rPr>
            <w:rStyle w:val="Hyperlink"/>
            <w:rFonts w:asciiTheme="minorHAnsi" w:hAnsiTheme="minorHAnsi" w:cstheme="minorHAnsi"/>
            <w:sz w:val="22"/>
            <w:szCs w:val="22"/>
            <w:bdr w:val="none" w:color="auto" w:sz="0" w:space="0" w:frame="1"/>
          </w:rPr>
          <w:t>book</w:t>
        </w:r>
      </w:hyperlink>
      <w:r w:rsidRPr="00C82868" w:rsidR="00C82868">
        <w:rPr>
          <w:rStyle w:val="apple-converted-space"/>
          <w:rFonts w:asciiTheme="minorHAnsi" w:hAnsiTheme="minorHAnsi" w:cstheme="minorHAnsi"/>
          <w:color w:val="201F1E"/>
          <w:sz w:val="22"/>
          <w:szCs w:val="22"/>
          <w:bdr w:val="none" w:color="auto" w:sz="0" w:space="0" w:frame="1"/>
        </w:rPr>
        <w:t> </w:t>
      </w:r>
      <w:r w:rsidRPr="00C82868" w:rsidR="00C82868">
        <w:rPr>
          <w:rFonts w:asciiTheme="minorHAnsi" w:hAnsiTheme="minorHAnsi" w:cstheme="minorHAnsi"/>
          <w:color w:val="201F1E"/>
          <w:sz w:val="22"/>
          <w:szCs w:val="22"/>
          <w:bdr w:val="none" w:color="auto" w:sz="0" w:space="0" w:frame="1"/>
        </w:rPr>
        <w:t>to understand how unification of business and productivity applications helps customers modernize their sales productivity and</w:t>
      </w:r>
      <w:r w:rsidRPr="00C82868" w:rsidR="00C82868">
        <w:rPr>
          <w:rStyle w:val="apple-converted-space"/>
          <w:rFonts w:asciiTheme="minorHAnsi" w:hAnsiTheme="minorHAnsi" w:cstheme="minorHAnsi"/>
          <w:color w:val="201F1E"/>
          <w:sz w:val="22"/>
          <w:szCs w:val="22"/>
          <w:bdr w:val="none" w:color="auto" w:sz="0" w:space="0" w:frame="1"/>
        </w:rPr>
        <w:t> </w:t>
      </w:r>
      <w:hyperlink w:tgtFrame="_blank" w:history="1" r:id="rId22">
        <w:r w:rsidRPr="00C82868" w:rsidR="00C82868">
          <w:rPr>
            <w:rStyle w:val="Hyperlink"/>
            <w:rFonts w:asciiTheme="minorHAnsi" w:hAnsiTheme="minorHAnsi" w:cstheme="minorHAnsi"/>
            <w:sz w:val="22"/>
            <w:szCs w:val="22"/>
            <w:bdr w:val="none" w:color="auto" w:sz="0" w:space="0" w:frame="1"/>
          </w:rPr>
          <w:t>watch the video</w:t>
        </w:r>
      </w:hyperlink>
      <w:r w:rsidRPr="00C82868" w:rsidR="00C82868">
        <w:rPr>
          <w:rStyle w:val="apple-converted-space"/>
          <w:rFonts w:asciiTheme="minorHAnsi" w:hAnsiTheme="minorHAnsi" w:cstheme="minorHAnsi"/>
          <w:color w:val="201F1E"/>
          <w:sz w:val="22"/>
          <w:szCs w:val="22"/>
          <w:bdr w:val="none" w:color="auto" w:sz="0" w:space="0" w:frame="1"/>
        </w:rPr>
        <w:t> </w:t>
      </w:r>
      <w:r w:rsidRPr="00C82868" w:rsidR="00C82868">
        <w:rPr>
          <w:rFonts w:asciiTheme="minorHAnsi" w:hAnsiTheme="minorHAnsi" w:cstheme="minorHAnsi"/>
          <w:color w:val="201F1E"/>
          <w:sz w:val="22"/>
          <w:szCs w:val="22"/>
          <w:bdr w:val="none" w:color="auto" w:sz="0" w:space="0" w:frame="1"/>
        </w:rPr>
        <w:t>to see it in action.   </w:t>
      </w:r>
    </w:p>
    <w:p w:rsidRPr="00C82868" w:rsidR="00C82868" w:rsidP="0079318B" w:rsidRDefault="00C82868" w14:paraId="5314D670" w14:textId="056307ED">
      <w:pPr>
        <w:pStyle w:val="NormalWeb"/>
        <w:numPr>
          <w:ilvl w:val="0"/>
          <w:numId w:val="3"/>
        </w:numPr>
        <w:spacing w:before="0" w:after="0" w:afterAutospacing="0"/>
        <w:textAlignment w:val="baseline"/>
        <w:rPr>
          <w:rFonts w:asciiTheme="minorHAnsi" w:hAnsiTheme="minorHAnsi" w:cstheme="minorHAnsi"/>
          <w:color w:val="201F1E"/>
          <w:sz w:val="22"/>
          <w:szCs w:val="22"/>
        </w:rPr>
      </w:pPr>
      <w:r w:rsidRPr="00C82868">
        <w:rPr>
          <w:rFonts w:asciiTheme="minorHAnsi" w:hAnsiTheme="minorHAnsi" w:cstheme="minorHAnsi"/>
          <w:color w:val="201F1E"/>
          <w:sz w:val="22"/>
          <w:szCs w:val="22"/>
          <w:bdr w:val="none" w:color="auto" w:sz="0" w:space="0" w:frame="1"/>
        </w:rPr>
        <w:t>Explore the</w:t>
      </w:r>
      <w:r w:rsidRPr="00C82868">
        <w:rPr>
          <w:rStyle w:val="apple-converted-space"/>
          <w:rFonts w:asciiTheme="minorHAnsi" w:hAnsiTheme="minorHAnsi" w:cstheme="minorHAnsi"/>
          <w:color w:val="201F1E"/>
          <w:sz w:val="22"/>
          <w:szCs w:val="22"/>
          <w:bdr w:val="none" w:color="auto" w:sz="0" w:space="0" w:frame="1"/>
        </w:rPr>
        <w:t> </w:t>
      </w:r>
      <w:hyperlink w:tgtFrame="_blank" w:history="1" r:id="rId23">
        <w:r w:rsidRPr="00C82868">
          <w:rPr>
            <w:rStyle w:val="Hyperlink"/>
            <w:rFonts w:asciiTheme="minorHAnsi" w:hAnsiTheme="minorHAnsi" w:cstheme="minorHAnsi"/>
            <w:sz w:val="22"/>
            <w:szCs w:val="22"/>
            <w:bdr w:val="none" w:color="auto" w:sz="0" w:space="0" w:frame="1"/>
          </w:rPr>
          <w:t>Dynamics 365 Sales Professional Help Resources</w:t>
        </w:r>
      </w:hyperlink>
      <w:r w:rsidRPr="00C82868">
        <w:rPr>
          <w:rStyle w:val="apple-converted-space"/>
          <w:rFonts w:asciiTheme="minorHAnsi" w:hAnsiTheme="minorHAnsi" w:cstheme="minorHAnsi"/>
          <w:color w:val="201F1E"/>
          <w:sz w:val="22"/>
          <w:szCs w:val="22"/>
          <w:bdr w:val="none" w:color="auto" w:sz="0" w:space="0" w:frame="1"/>
        </w:rPr>
        <w:t> </w:t>
      </w:r>
      <w:r w:rsidRPr="00C82868">
        <w:rPr>
          <w:rFonts w:asciiTheme="minorHAnsi" w:hAnsiTheme="minorHAnsi" w:cstheme="minorHAnsi"/>
          <w:color w:val="201F1E"/>
          <w:sz w:val="22"/>
          <w:szCs w:val="22"/>
          <w:bdr w:val="none" w:color="auto" w:sz="0" w:space="0" w:frame="1"/>
        </w:rPr>
        <w:t xml:space="preserve">for a deeper </w:t>
      </w:r>
      <w:r w:rsidR="00D84CCF">
        <w:rPr>
          <w:rFonts w:asciiTheme="minorHAnsi" w:hAnsiTheme="minorHAnsi" w:cstheme="minorHAnsi"/>
          <w:color w:val="201F1E"/>
          <w:sz w:val="22"/>
          <w:szCs w:val="22"/>
          <w:bdr w:val="none" w:color="auto" w:sz="0" w:space="0" w:frame="1"/>
        </w:rPr>
        <w:t xml:space="preserve">technical </w:t>
      </w:r>
      <w:r w:rsidRPr="00C82868">
        <w:rPr>
          <w:rFonts w:asciiTheme="minorHAnsi" w:hAnsiTheme="minorHAnsi" w:cstheme="minorHAnsi"/>
          <w:color w:val="201F1E"/>
          <w:sz w:val="22"/>
          <w:szCs w:val="22"/>
          <w:bdr w:val="none" w:color="auto" w:sz="0" w:space="0" w:frame="1"/>
        </w:rPr>
        <w:t xml:space="preserve">understanding of working with </w:t>
      </w:r>
      <w:r w:rsidR="00C727DA">
        <w:rPr>
          <w:rFonts w:asciiTheme="minorHAnsi" w:hAnsiTheme="minorHAnsi" w:cstheme="minorHAnsi"/>
          <w:color w:val="201F1E"/>
          <w:sz w:val="22"/>
          <w:szCs w:val="22"/>
          <w:bdr w:val="none" w:color="auto" w:sz="0" w:space="0" w:frame="1"/>
        </w:rPr>
        <w:t xml:space="preserve">a </w:t>
      </w:r>
      <w:r w:rsidRPr="00C82868">
        <w:rPr>
          <w:rFonts w:asciiTheme="minorHAnsi" w:hAnsiTheme="minorHAnsi" w:cstheme="minorHAnsi"/>
          <w:color w:val="201F1E"/>
          <w:sz w:val="22"/>
          <w:szCs w:val="22"/>
          <w:bdr w:val="none" w:color="auto" w:sz="0" w:space="0" w:frame="1"/>
        </w:rPr>
        <w:t>Dynamics 365 Sales Professional. </w:t>
      </w:r>
    </w:p>
    <w:p w:rsidRPr="00BA7B3C" w:rsidR="00C82868" w:rsidP="00BA7B3C" w:rsidRDefault="00C82868" w14:paraId="3A4FEFD1" w14:textId="77777777"/>
    <w:sectPr w:rsidRPr="00BA7B3C" w:rsidR="00C8286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71C5D"/>
    <w:multiLevelType w:val="hybridMultilevel"/>
    <w:tmpl w:val="9C285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D54B06"/>
    <w:multiLevelType w:val="hybridMultilevel"/>
    <w:tmpl w:val="B956C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1448B"/>
    <w:multiLevelType w:val="hybridMultilevel"/>
    <w:tmpl w:val="70A26E8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4F"/>
    <w:rsid w:val="00012FEE"/>
    <w:rsid w:val="00031084"/>
    <w:rsid w:val="000376F6"/>
    <w:rsid w:val="00043547"/>
    <w:rsid w:val="0006406A"/>
    <w:rsid w:val="00075358"/>
    <w:rsid w:val="0008244A"/>
    <w:rsid w:val="00082547"/>
    <w:rsid w:val="000851F6"/>
    <w:rsid w:val="00087BD7"/>
    <w:rsid w:val="000A017E"/>
    <w:rsid w:val="000A1E86"/>
    <w:rsid w:val="000C17EB"/>
    <w:rsid w:val="000E260D"/>
    <w:rsid w:val="000E3B53"/>
    <w:rsid w:val="000F03C0"/>
    <w:rsid w:val="000F3F9A"/>
    <w:rsid w:val="001060D5"/>
    <w:rsid w:val="001100CF"/>
    <w:rsid w:val="00110A23"/>
    <w:rsid w:val="0012115C"/>
    <w:rsid w:val="00124918"/>
    <w:rsid w:val="00135911"/>
    <w:rsid w:val="00137893"/>
    <w:rsid w:val="00143661"/>
    <w:rsid w:val="00143D40"/>
    <w:rsid w:val="00156ACE"/>
    <w:rsid w:val="00156ADA"/>
    <w:rsid w:val="00160600"/>
    <w:rsid w:val="00161D1B"/>
    <w:rsid w:val="001816FF"/>
    <w:rsid w:val="00183170"/>
    <w:rsid w:val="001A4191"/>
    <w:rsid w:val="001B7A0B"/>
    <w:rsid w:val="001C0BD5"/>
    <w:rsid w:val="001C2582"/>
    <w:rsid w:val="001C4452"/>
    <w:rsid w:val="001C4A01"/>
    <w:rsid w:val="001E1C39"/>
    <w:rsid w:val="001E31E1"/>
    <w:rsid w:val="002008A9"/>
    <w:rsid w:val="002025D9"/>
    <w:rsid w:val="00207C29"/>
    <w:rsid w:val="00225BE3"/>
    <w:rsid w:val="00233981"/>
    <w:rsid w:val="002354C4"/>
    <w:rsid w:val="00245ED4"/>
    <w:rsid w:val="00245F35"/>
    <w:rsid w:val="0025146A"/>
    <w:rsid w:val="00255CB5"/>
    <w:rsid w:val="00260674"/>
    <w:rsid w:val="002631F5"/>
    <w:rsid w:val="00264E21"/>
    <w:rsid w:val="002666C5"/>
    <w:rsid w:val="00280166"/>
    <w:rsid w:val="002B6173"/>
    <w:rsid w:val="002B6355"/>
    <w:rsid w:val="002F4136"/>
    <w:rsid w:val="00307E48"/>
    <w:rsid w:val="00325314"/>
    <w:rsid w:val="0033702F"/>
    <w:rsid w:val="003407BD"/>
    <w:rsid w:val="00341D0E"/>
    <w:rsid w:val="00356F1A"/>
    <w:rsid w:val="0037130F"/>
    <w:rsid w:val="00384601"/>
    <w:rsid w:val="00385D6F"/>
    <w:rsid w:val="003A2155"/>
    <w:rsid w:val="003A7FEC"/>
    <w:rsid w:val="003B121B"/>
    <w:rsid w:val="003B2122"/>
    <w:rsid w:val="003D78D5"/>
    <w:rsid w:val="003F1720"/>
    <w:rsid w:val="003F25C8"/>
    <w:rsid w:val="00400B63"/>
    <w:rsid w:val="00402083"/>
    <w:rsid w:val="00432C9C"/>
    <w:rsid w:val="00441A7B"/>
    <w:rsid w:val="004659B2"/>
    <w:rsid w:val="00466352"/>
    <w:rsid w:val="00495088"/>
    <w:rsid w:val="0049567C"/>
    <w:rsid w:val="004A2B4F"/>
    <w:rsid w:val="004A42F6"/>
    <w:rsid w:val="00503A4E"/>
    <w:rsid w:val="005066DD"/>
    <w:rsid w:val="00520C91"/>
    <w:rsid w:val="00535790"/>
    <w:rsid w:val="005720DE"/>
    <w:rsid w:val="00572BB7"/>
    <w:rsid w:val="0057379C"/>
    <w:rsid w:val="0058073F"/>
    <w:rsid w:val="0058612C"/>
    <w:rsid w:val="005925B9"/>
    <w:rsid w:val="00595696"/>
    <w:rsid w:val="005A45B6"/>
    <w:rsid w:val="005A7CAF"/>
    <w:rsid w:val="005B1CEA"/>
    <w:rsid w:val="005B52D3"/>
    <w:rsid w:val="005C035B"/>
    <w:rsid w:val="005C07C2"/>
    <w:rsid w:val="005D69AB"/>
    <w:rsid w:val="00602DD1"/>
    <w:rsid w:val="0064057B"/>
    <w:rsid w:val="0068289C"/>
    <w:rsid w:val="006973D7"/>
    <w:rsid w:val="006977B1"/>
    <w:rsid w:val="006A4D43"/>
    <w:rsid w:val="006A66CD"/>
    <w:rsid w:val="006B22BD"/>
    <w:rsid w:val="006B26C6"/>
    <w:rsid w:val="006C22FC"/>
    <w:rsid w:val="006D51A0"/>
    <w:rsid w:val="006F375E"/>
    <w:rsid w:val="007029D7"/>
    <w:rsid w:val="00720C0F"/>
    <w:rsid w:val="00761EC1"/>
    <w:rsid w:val="00763323"/>
    <w:rsid w:val="00765433"/>
    <w:rsid w:val="007754CF"/>
    <w:rsid w:val="00777644"/>
    <w:rsid w:val="0079318B"/>
    <w:rsid w:val="007A5267"/>
    <w:rsid w:val="007C2DAA"/>
    <w:rsid w:val="007D023B"/>
    <w:rsid w:val="007D5872"/>
    <w:rsid w:val="007F7760"/>
    <w:rsid w:val="007F7B27"/>
    <w:rsid w:val="00811063"/>
    <w:rsid w:val="00817757"/>
    <w:rsid w:val="008235E4"/>
    <w:rsid w:val="0083293F"/>
    <w:rsid w:val="00836CBB"/>
    <w:rsid w:val="008556F7"/>
    <w:rsid w:val="00860FA7"/>
    <w:rsid w:val="00866F6A"/>
    <w:rsid w:val="00873850"/>
    <w:rsid w:val="0089FBF2"/>
    <w:rsid w:val="008B78A9"/>
    <w:rsid w:val="008E2748"/>
    <w:rsid w:val="008E446C"/>
    <w:rsid w:val="008E693B"/>
    <w:rsid w:val="008F6306"/>
    <w:rsid w:val="008F79A7"/>
    <w:rsid w:val="00904D00"/>
    <w:rsid w:val="0091292F"/>
    <w:rsid w:val="00921612"/>
    <w:rsid w:val="00934087"/>
    <w:rsid w:val="0094535A"/>
    <w:rsid w:val="009611C0"/>
    <w:rsid w:val="0097174C"/>
    <w:rsid w:val="0098379E"/>
    <w:rsid w:val="009914AF"/>
    <w:rsid w:val="009926AF"/>
    <w:rsid w:val="009A190C"/>
    <w:rsid w:val="009A24B7"/>
    <w:rsid w:val="009A4DC0"/>
    <w:rsid w:val="009B0B60"/>
    <w:rsid w:val="009E3EB9"/>
    <w:rsid w:val="009E4996"/>
    <w:rsid w:val="009F1D48"/>
    <w:rsid w:val="009F276C"/>
    <w:rsid w:val="009F44F0"/>
    <w:rsid w:val="009F7E55"/>
    <w:rsid w:val="00A03C8A"/>
    <w:rsid w:val="00A052BF"/>
    <w:rsid w:val="00A22E1C"/>
    <w:rsid w:val="00A84DE6"/>
    <w:rsid w:val="00A854CA"/>
    <w:rsid w:val="00A9490F"/>
    <w:rsid w:val="00AA05C9"/>
    <w:rsid w:val="00AC119D"/>
    <w:rsid w:val="00AF5124"/>
    <w:rsid w:val="00AF5971"/>
    <w:rsid w:val="00B03097"/>
    <w:rsid w:val="00B14077"/>
    <w:rsid w:val="00B575B3"/>
    <w:rsid w:val="00B67B15"/>
    <w:rsid w:val="00B74687"/>
    <w:rsid w:val="00B7583F"/>
    <w:rsid w:val="00BA40A5"/>
    <w:rsid w:val="00BA7B3C"/>
    <w:rsid w:val="00BC09BA"/>
    <w:rsid w:val="00BF10C2"/>
    <w:rsid w:val="00BF6250"/>
    <w:rsid w:val="00BF6DFD"/>
    <w:rsid w:val="00BF734A"/>
    <w:rsid w:val="00C22C61"/>
    <w:rsid w:val="00C270EB"/>
    <w:rsid w:val="00C33DB2"/>
    <w:rsid w:val="00C6571A"/>
    <w:rsid w:val="00C727DA"/>
    <w:rsid w:val="00C75EB9"/>
    <w:rsid w:val="00C80D58"/>
    <w:rsid w:val="00C82868"/>
    <w:rsid w:val="00C83049"/>
    <w:rsid w:val="00C84E7E"/>
    <w:rsid w:val="00CC1DBB"/>
    <w:rsid w:val="00CC347B"/>
    <w:rsid w:val="00CE34CA"/>
    <w:rsid w:val="00CE582B"/>
    <w:rsid w:val="00CE5B13"/>
    <w:rsid w:val="00CF764E"/>
    <w:rsid w:val="00D00C56"/>
    <w:rsid w:val="00D0739E"/>
    <w:rsid w:val="00D12EAB"/>
    <w:rsid w:val="00D16C7B"/>
    <w:rsid w:val="00D17E48"/>
    <w:rsid w:val="00D23F90"/>
    <w:rsid w:val="00D35527"/>
    <w:rsid w:val="00D43ECE"/>
    <w:rsid w:val="00D524EF"/>
    <w:rsid w:val="00D82ADD"/>
    <w:rsid w:val="00D84CCF"/>
    <w:rsid w:val="00D96CDD"/>
    <w:rsid w:val="00DB6817"/>
    <w:rsid w:val="00DC4BA2"/>
    <w:rsid w:val="00DE6D67"/>
    <w:rsid w:val="00DF3F35"/>
    <w:rsid w:val="00E0695C"/>
    <w:rsid w:val="00E15BF7"/>
    <w:rsid w:val="00E211F6"/>
    <w:rsid w:val="00E23649"/>
    <w:rsid w:val="00E70B0E"/>
    <w:rsid w:val="00E85D02"/>
    <w:rsid w:val="00E96A9D"/>
    <w:rsid w:val="00E97EF5"/>
    <w:rsid w:val="00EA19AF"/>
    <w:rsid w:val="00EA5089"/>
    <w:rsid w:val="00EA6317"/>
    <w:rsid w:val="00EC2164"/>
    <w:rsid w:val="00EF796A"/>
    <w:rsid w:val="00F32E97"/>
    <w:rsid w:val="00F660AC"/>
    <w:rsid w:val="00F75E9B"/>
    <w:rsid w:val="00F816EE"/>
    <w:rsid w:val="00F91FD4"/>
    <w:rsid w:val="00F928AF"/>
    <w:rsid w:val="00F95FA9"/>
    <w:rsid w:val="00F96C00"/>
    <w:rsid w:val="00FA0F36"/>
    <w:rsid w:val="00FA459C"/>
    <w:rsid w:val="00FB72EA"/>
    <w:rsid w:val="00FC2973"/>
    <w:rsid w:val="00FC3BA2"/>
    <w:rsid w:val="00FC4221"/>
    <w:rsid w:val="00FD1D6A"/>
    <w:rsid w:val="00FD36C3"/>
    <w:rsid w:val="00FE3524"/>
    <w:rsid w:val="017D8040"/>
    <w:rsid w:val="0802B832"/>
    <w:rsid w:val="09D2E176"/>
    <w:rsid w:val="13AA9E39"/>
    <w:rsid w:val="1AB99B2E"/>
    <w:rsid w:val="1B096191"/>
    <w:rsid w:val="1B8A71B4"/>
    <w:rsid w:val="1D31B1E1"/>
    <w:rsid w:val="1D436C76"/>
    <w:rsid w:val="1D477152"/>
    <w:rsid w:val="1E30CB96"/>
    <w:rsid w:val="250FFEBF"/>
    <w:rsid w:val="2E109759"/>
    <w:rsid w:val="329DF121"/>
    <w:rsid w:val="3E2A27D7"/>
    <w:rsid w:val="3F5E534B"/>
    <w:rsid w:val="4D495ABA"/>
    <w:rsid w:val="4EA9E69C"/>
    <w:rsid w:val="53C0ED35"/>
    <w:rsid w:val="57EEC629"/>
    <w:rsid w:val="5D5C3BEC"/>
    <w:rsid w:val="5E0E1944"/>
    <w:rsid w:val="5F548F85"/>
    <w:rsid w:val="6633D74E"/>
    <w:rsid w:val="6724020F"/>
    <w:rsid w:val="678F845C"/>
    <w:rsid w:val="68E30071"/>
    <w:rsid w:val="6C1E7F76"/>
    <w:rsid w:val="6D5E9449"/>
    <w:rsid w:val="6D792A62"/>
    <w:rsid w:val="72ADCCB3"/>
    <w:rsid w:val="747D9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9D77"/>
  <w15:chartTrackingRefBased/>
  <w15:docId w15:val="{8E49FB07-E571-4936-A2AE-D1D7EA3A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95FA9"/>
    <w:pPr>
      <w:keepNext/>
      <w:keepLines/>
      <w:spacing w:before="240" w:after="240"/>
      <w:outlineLvl w:val="0"/>
    </w:pPr>
    <w:rPr>
      <w:rFonts w:asciiTheme="majorHAnsi" w:hAnsiTheme="majorHAnsi" w:eastAsiaTheme="majorEastAsia" w:cstheme="majorBidi"/>
      <w:color w:val="0078D4" w:themeColor="accent1"/>
      <w:sz w:val="32"/>
      <w:szCs w:val="32"/>
    </w:rPr>
  </w:style>
  <w:style w:type="paragraph" w:styleId="Heading2">
    <w:name w:val="heading 2"/>
    <w:basedOn w:val="Normal"/>
    <w:next w:val="Normal"/>
    <w:link w:val="Heading2Char"/>
    <w:uiPriority w:val="9"/>
    <w:unhideWhenUsed/>
    <w:qFormat/>
    <w:rsid w:val="00535790"/>
    <w:pPr>
      <w:keepNext/>
      <w:keepLines/>
      <w:spacing w:before="40" w:after="0"/>
      <w:outlineLvl w:val="1"/>
    </w:pPr>
    <w:rPr>
      <w:rFonts w:asciiTheme="majorHAnsi" w:hAnsiTheme="majorHAnsi" w:eastAsiaTheme="majorEastAsia" w:cstheme="majorBidi"/>
      <w:color w:val="00599E"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A2B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3">
    <w:name w:val="Grid Table 4 Accent 3"/>
    <w:basedOn w:val="TableNormal"/>
    <w:uiPriority w:val="49"/>
    <w:rsid w:val="004A2B4F"/>
    <w:pPr>
      <w:spacing w:after="0" w:line="240" w:lineRule="auto"/>
    </w:pPr>
    <w:tblPr>
      <w:tblStyleRowBandSize w:val="1"/>
      <w:tblStyleColBandSize w:val="1"/>
      <w:tblBorders>
        <w:top w:val="single" w:color="F7F7F7" w:themeColor="accent3" w:themeTint="99" w:sz="4" w:space="0"/>
        <w:left w:val="single" w:color="F7F7F7" w:themeColor="accent3" w:themeTint="99" w:sz="4" w:space="0"/>
        <w:bottom w:val="single" w:color="F7F7F7" w:themeColor="accent3" w:themeTint="99" w:sz="4" w:space="0"/>
        <w:right w:val="single" w:color="F7F7F7" w:themeColor="accent3" w:themeTint="99" w:sz="4" w:space="0"/>
        <w:insideH w:val="single" w:color="F7F7F7" w:themeColor="accent3" w:themeTint="99" w:sz="4" w:space="0"/>
        <w:insideV w:val="single" w:color="F7F7F7" w:themeColor="accent3" w:themeTint="99" w:sz="4" w:space="0"/>
      </w:tblBorders>
    </w:tblPr>
    <w:tblStylePr w:type="firstRow">
      <w:rPr>
        <w:b/>
        <w:bCs/>
        <w:color w:val="FFFFFF" w:themeColor="background1"/>
      </w:rPr>
      <w:tblPr/>
      <w:tcPr>
        <w:tcBorders>
          <w:top w:val="single" w:color="F3F3F3" w:themeColor="accent3" w:sz="4" w:space="0"/>
          <w:left w:val="single" w:color="F3F3F3" w:themeColor="accent3" w:sz="4" w:space="0"/>
          <w:bottom w:val="single" w:color="F3F3F3" w:themeColor="accent3" w:sz="4" w:space="0"/>
          <w:right w:val="single" w:color="F3F3F3" w:themeColor="accent3" w:sz="4" w:space="0"/>
          <w:insideH w:val="nil"/>
          <w:insideV w:val="nil"/>
        </w:tcBorders>
        <w:shd w:val="clear" w:color="auto" w:fill="F3F3F3" w:themeFill="accent3"/>
      </w:tcPr>
    </w:tblStylePr>
    <w:tblStylePr w:type="lastRow">
      <w:rPr>
        <w:b/>
        <w:bCs/>
      </w:rPr>
      <w:tblPr/>
      <w:tcPr>
        <w:tcBorders>
          <w:top w:val="double" w:color="F3F3F3" w:themeColor="accent3" w:sz="4" w:space="0"/>
        </w:tcBorders>
      </w:tcPr>
    </w:tblStylePr>
    <w:tblStylePr w:type="firstCol">
      <w:rPr>
        <w:b/>
        <w:bCs/>
      </w:rPr>
    </w:tblStylePr>
    <w:tblStylePr w:type="lastCol">
      <w:rPr>
        <w:b/>
        <w:bCs/>
      </w:rPr>
    </w:tblStylePr>
    <w:tblStylePr w:type="band1Vert">
      <w:tblPr/>
      <w:tcPr>
        <w:shd w:val="clear" w:color="auto" w:fill="FCFCFC" w:themeFill="accent3" w:themeFillTint="33"/>
      </w:tcPr>
    </w:tblStylePr>
    <w:tblStylePr w:type="band1Horz">
      <w:tblPr/>
      <w:tcPr>
        <w:shd w:val="clear" w:color="auto" w:fill="FCFCFC" w:themeFill="accent3" w:themeFillTint="33"/>
      </w:tcPr>
    </w:tblStylePr>
  </w:style>
  <w:style w:type="paragraph" w:styleId="NormalWeb">
    <w:name w:val="Normal (Web)"/>
    <w:basedOn w:val="Normal"/>
    <w:uiPriority w:val="99"/>
    <w:unhideWhenUsed/>
    <w:rsid w:val="009F44F0"/>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082547"/>
    <w:rPr>
      <w:color w:val="0078D4" w:themeColor="hyperlink"/>
      <w:u w:val="single"/>
    </w:rPr>
  </w:style>
  <w:style w:type="character" w:styleId="UnresolvedMention">
    <w:name w:val="Unresolved Mention"/>
    <w:basedOn w:val="DefaultParagraphFont"/>
    <w:uiPriority w:val="99"/>
    <w:semiHidden/>
    <w:unhideWhenUsed/>
    <w:rsid w:val="00082547"/>
    <w:rPr>
      <w:color w:val="605E5C"/>
      <w:shd w:val="clear" w:color="auto" w:fill="E1DFDD"/>
    </w:rPr>
  </w:style>
  <w:style w:type="character" w:styleId="FollowedHyperlink">
    <w:name w:val="FollowedHyperlink"/>
    <w:basedOn w:val="DefaultParagraphFont"/>
    <w:uiPriority w:val="99"/>
    <w:semiHidden/>
    <w:unhideWhenUsed/>
    <w:rsid w:val="00082547"/>
    <w:rPr>
      <w:color w:val="0078D4" w:themeColor="followedHyperlink"/>
      <w:u w:val="single"/>
    </w:rPr>
  </w:style>
  <w:style w:type="character" w:styleId="CommentReference">
    <w:name w:val="annotation reference"/>
    <w:basedOn w:val="DefaultParagraphFont"/>
    <w:uiPriority w:val="99"/>
    <w:semiHidden/>
    <w:unhideWhenUsed/>
    <w:rsid w:val="001C4452"/>
    <w:rPr>
      <w:sz w:val="16"/>
      <w:szCs w:val="16"/>
    </w:rPr>
  </w:style>
  <w:style w:type="paragraph" w:styleId="CommentText">
    <w:name w:val="annotation text"/>
    <w:basedOn w:val="Normal"/>
    <w:link w:val="CommentTextChar"/>
    <w:uiPriority w:val="99"/>
    <w:semiHidden/>
    <w:unhideWhenUsed/>
    <w:rsid w:val="001C4452"/>
    <w:pPr>
      <w:spacing w:line="240" w:lineRule="auto"/>
    </w:pPr>
    <w:rPr>
      <w:sz w:val="20"/>
      <w:szCs w:val="20"/>
    </w:rPr>
  </w:style>
  <w:style w:type="character" w:styleId="CommentTextChar" w:customStyle="1">
    <w:name w:val="Comment Text Char"/>
    <w:basedOn w:val="DefaultParagraphFont"/>
    <w:link w:val="CommentText"/>
    <w:uiPriority w:val="99"/>
    <w:semiHidden/>
    <w:rsid w:val="001C4452"/>
    <w:rPr>
      <w:sz w:val="20"/>
      <w:szCs w:val="20"/>
    </w:rPr>
  </w:style>
  <w:style w:type="paragraph" w:styleId="CommentSubject">
    <w:name w:val="annotation subject"/>
    <w:basedOn w:val="CommentText"/>
    <w:next w:val="CommentText"/>
    <w:link w:val="CommentSubjectChar"/>
    <w:uiPriority w:val="99"/>
    <w:semiHidden/>
    <w:unhideWhenUsed/>
    <w:rsid w:val="001C4452"/>
    <w:rPr>
      <w:b/>
      <w:bCs/>
    </w:rPr>
  </w:style>
  <w:style w:type="character" w:styleId="CommentSubjectChar" w:customStyle="1">
    <w:name w:val="Comment Subject Char"/>
    <w:basedOn w:val="CommentTextChar"/>
    <w:link w:val="CommentSubject"/>
    <w:uiPriority w:val="99"/>
    <w:semiHidden/>
    <w:rsid w:val="001C4452"/>
    <w:rPr>
      <w:b/>
      <w:bCs/>
      <w:sz w:val="20"/>
      <w:szCs w:val="20"/>
    </w:rPr>
  </w:style>
  <w:style w:type="paragraph" w:styleId="BalloonText">
    <w:name w:val="Balloon Text"/>
    <w:basedOn w:val="Normal"/>
    <w:link w:val="BalloonTextChar"/>
    <w:uiPriority w:val="99"/>
    <w:semiHidden/>
    <w:unhideWhenUsed/>
    <w:rsid w:val="001C445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4452"/>
    <w:rPr>
      <w:rFonts w:ascii="Segoe UI" w:hAnsi="Segoe UI" w:cs="Segoe UI"/>
      <w:sz w:val="18"/>
      <w:szCs w:val="18"/>
    </w:rPr>
  </w:style>
  <w:style w:type="paragraph" w:styleId="Title">
    <w:name w:val="Title"/>
    <w:basedOn w:val="Normal"/>
    <w:next w:val="Normal"/>
    <w:link w:val="TitleChar"/>
    <w:uiPriority w:val="10"/>
    <w:qFormat/>
    <w:rsid w:val="00D524EF"/>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524EF"/>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3B121B"/>
    <w:pPr>
      <w:numPr>
        <w:ilvl w:val="1"/>
      </w:numPr>
    </w:pPr>
    <w:rPr>
      <w:rFonts w:eastAsiaTheme="minorEastAsia"/>
      <w:color w:val="5A5A5A" w:themeColor="text1" w:themeTint="A5"/>
      <w:sz w:val="32"/>
    </w:rPr>
  </w:style>
  <w:style w:type="character" w:styleId="SubtitleChar" w:customStyle="1">
    <w:name w:val="Subtitle Char"/>
    <w:basedOn w:val="DefaultParagraphFont"/>
    <w:link w:val="Subtitle"/>
    <w:uiPriority w:val="11"/>
    <w:rsid w:val="003B121B"/>
    <w:rPr>
      <w:rFonts w:eastAsiaTheme="minorEastAsia"/>
      <w:color w:val="5A5A5A" w:themeColor="text1" w:themeTint="A5"/>
      <w:sz w:val="32"/>
    </w:rPr>
  </w:style>
  <w:style w:type="paragraph" w:styleId="NoSpacing">
    <w:name w:val="No Spacing"/>
    <w:uiPriority w:val="1"/>
    <w:qFormat/>
    <w:rsid w:val="00D524EF"/>
    <w:pPr>
      <w:spacing w:after="0" w:line="240" w:lineRule="auto"/>
    </w:pPr>
  </w:style>
  <w:style w:type="character" w:styleId="Heading1Char" w:customStyle="1">
    <w:name w:val="Heading 1 Char"/>
    <w:basedOn w:val="DefaultParagraphFont"/>
    <w:link w:val="Heading1"/>
    <w:uiPriority w:val="9"/>
    <w:rsid w:val="00F95FA9"/>
    <w:rPr>
      <w:rFonts w:asciiTheme="majorHAnsi" w:hAnsiTheme="majorHAnsi" w:eastAsiaTheme="majorEastAsia" w:cstheme="majorBidi"/>
      <w:color w:val="0078D4" w:themeColor="accent1"/>
      <w:sz w:val="32"/>
      <w:szCs w:val="32"/>
    </w:rPr>
  </w:style>
  <w:style w:type="character" w:styleId="Heading2Char" w:customStyle="1">
    <w:name w:val="Heading 2 Char"/>
    <w:basedOn w:val="DefaultParagraphFont"/>
    <w:link w:val="Heading2"/>
    <w:uiPriority w:val="9"/>
    <w:rsid w:val="00535790"/>
    <w:rPr>
      <w:rFonts w:asciiTheme="majorHAnsi" w:hAnsiTheme="majorHAnsi" w:eastAsiaTheme="majorEastAsia" w:cstheme="majorBidi"/>
      <w:color w:val="00599E" w:themeColor="accent1" w:themeShade="BF"/>
      <w:sz w:val="26"/>
      <w:szCs w:val="26"/>
    </w:rPr>
  </w:style>
  <w:style w:type="character" w:styleId="Strong">
    <w:name w:val="Strong"/>
    <w:basedOn w:val="DefaultParagraphFont"/>
    <w:uiPriority w:val="22"/>
    <w:qFormat/>
    <w:rsid w:val="00BA7B3C"/>
    <w:rPr>
      <w:b/>
      <w:bCs/>
    </w:rPr>
  </w:style>
  <w:style w:type="character" w:styleId="BookTitle">
    <w:name w:val="Book Title"/>
    <w:basedOn w:val="DefaultParagraphFont"/>
    <w:uiPriority w:val="33"/>
    <w:qFormat/>
    <w:rsid w:val="00BA7B3C"/>
    <w:rPr>
      <w:b/>
      <w:bCs/>
      <w:i/>
      <w:iCs/>
      <w:spacing w:val="5"/>
    </w:rPr>
  </w:style>
  <w:style w:type="character" w:styleId="SubtleEmphasis">
    <w:name w:val="Subtle Emphasis"/>
    <w:basedOn w:val="DefaultParagraphFont"/>
    <w:uiPriority w:val="19"/>
    <w:qFormat/>
    <w:rsid w:val="007F7B27"/>
    <w:rPr>
      <w:i/>
      <w:iCs/>
      <w:color w:val="404040" w:themeColor="text1" w:themeTint="BF"/>
    </w:rPr>
  </w:style>
  <w:style w:type="paragraph" w:styleId="paragraph" w:customStyle="1">
    <w:name w:val="paragraph"/>
    <w:basedOn w:val="Normal"/>
    <w:rsid w:val="00C8286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C82868"/>
  </w:style>
  <w:style w:type="character" w:styleId="eop" w:customStyle="1">
    <w:name w:val="eop"/>
    <w:basedOn w:val="DefaultParagraphFont"/>
    <w:rsid w:val="00C82868"/>
  </w:style>
  <w:style w:type="character" w:styleId="apple-converted-space" w:customStyle="1">
    <w:name w:val="apple-converted-space"/>
    <w:basedOn w:val="DefaultParagraphFont"/>
    <w:rsid w:val="00C8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29803">
      <w:bodyDiv w:val="1"/>
      <w:marLeft w:val="0"/>
      <w:marRight w:val="0"/>
      <w:marTop w:val="0"/>
      <w:marBottom w:val="0"/>
      <w:divBdr>
        <w:top w:val="none" w:sz="0" w:space="0" w:color="auto"/>
        <w:left w:val="none" w:sz="0" w:space="0" w:color="auto"/>
        <w:bottom w:val="none" w:sz="0" w:space="0" w:color="auto"/>
        <w:right w:val="none" w:sz="0" w:space="0" w:color="auto"/>
      </w:divBdr>
    </w:div>
    <w:div w:id="389767855">
      <w:bodyDiv w:val="1"/>
      <w:marLeft w:val="0"/>
      <w:marRight w:val="0"/>
      <w:marTop w:val="0"/>
      <w:marBottom w:val="0"/>
      <w:divBdr>
        <w:top w:val="none" w:sz="0" w:space="0" w:color="auto"/>
        <w:left w:val="none" w:sz="0" w:space="0" w:color="auto"/>
        <w:bottom w:val="none" w:sz="0" w:space="0" w:color="auto"/>
        <w:right w:val="none" w:sz="0" w:space="0" w:color="auto"/>
      </w:divBdr>
    </w:div>
    <w:div w:id="714281491">
      <w:bodyDiv w:val="1"/>
      <w:marLeft w:val="0"/>
      <w:marRight w:val="0"/>
      <w:marTop w:val="0"/>
      <w:marBottom w:val="0"/>
      <w:divBdr>
        <w:top w:val="none" w:sz="0" w:space="0" w:color="auto"/>
        <w:left w:val="none" w:sz="0" w:space="0" w:color="auto"/>
        <w:bottom w:val="none" w:sz="0" w:space="0" w:color="auto"/>
        <w:right w:val="none" w:sz="0" w:space="0" w:color="auto"/>
      </w:divBdr>
    </w:div>
    <w:div w:id="814445265">
      <w:bodyDiv w:val="1"/>
      <w:marLeft w:val="0"/>
      <w:marRight w:val="0"/>
      <w:marTop w:val="0"/>
      <w:marBottom w:val="0"/>
      <w:divBdr>
        <w:top w:val="none" w:sz="0" w:space="0" w:color="auto"/>
        <w:left w:val="none" w:sz="0" w:space="0" w:color="auto"/>
        <w:bottom w:val="none" w:sz="0" w:space="0" w:color="auto"/>
        <w:right w:val="none" w:sz="0" w:space="0" w:color="auto"/>
      </w:divBdr>
      <w:divsChild>
        <w:div w:id="823157695">
          <w:marLeft w:val="0"/>
          <w:marRight w:val="0"/>
          <w:marTop w:val="0"/>
          <w:marBottom w:val="0"/>
          <w:divBdr>
            <w:top w:val="none" w:sz="0" w:space="0" w:color="auto"/>
            <w:left w:val="none" w:sz="0" w:space="0" w:color="auto"/>
            <w:bottom w:val="none" w:sz="0" w:space="0" w:color="auto"/>
            <w:right w:val="none" w:sz="0" w:space="0" w:color="auto"/>
          </w:divBdr>
          <w:divsChild>
            <w:div w:id="1501850302">
              <w:marLeft w:val="0"/>
              <w:marRight w:val="0"/>
              <w:marTop w:val="0"/>
              <w:marBottom w:val="0"/>
              <w:divBdr>
                <w:top w:val="none" w:sz="0" w:space="0" w:color="auto"/>
                <w:left w:val="none" w:sz="0" w:space="0" w:color="auto"/>
                <w:bottom w:val="none" w:sz="0" w:space="0" w:color="auto"/>
                <w:right w:val="none" w:sz="0" w:space="0" w:color="auto"/>
              </w:divBdr>
              <w:divsChild>
                <w:div w:id="2029020099">
                  <w:marLeft w:val="0"/>
                  <w:marRight w:val="0"/>
                  <w:marTop w:val="0"/>
                  <w:marBottom w:val="0"/>
                  <w:divBdr>
                    <w:top w:val="none" w:sz="0" w:space="0" w:color="auto"/>
                    <w:left w:val="none" w:sz="0" w:space="0" w:color="auto"/>
                    <w:bottom w:val="none" w:sz="0" w:space="0" w:color="auto"/>
                    <w:right w:val="none" w:sz="0" w:space="0" w:color="auto"/>
                  </w:divBdr>
                  <w:divsChild>
                    <w:div w:id="194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customXml" Target="../customXml/item3.xml" Id="rId3" /><Relationship Type="http://schemas.openxmlformats.org/officeDocument/2006/relationships/hyperlink" Target="https://nam06.safelinks.protection.outlook.com/?url=https%3A%2F%2Fassetsprod.microsoft.com%2Fmpn%2Fen-us%2Fd365-better-together-ebook.pdf&amp;data=02%7C01%7Cpamelajo%40microsoft.com%7C8ed41026dd9e4194617d08d7db3a472c%7C72f988bf86f141af91ab2d7cd011db47%7C1%7C0%7C637218916643069907&amp;sdata=FUmZOhSviAI68MV7HCpedm%2F0uA2qxQDbb3pLxJXuVSQ%3D&amp;reserved=0" TargetMode="External" Id="rId21" /><Relationship Type="http://schemas.openxmlformats.org/officeDocument/2006/relationships/settings" Target="setting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8.png" Id="rId16" /><Relationship Type="http://schemas.openxmlformats.org/officeDocument/2006/relationships/hyperlink" Target="https://nam06.safelinks.protection.outlook.com/?url=https%3A%2F%2Fpartner.microsoft.com%2Fen-us%2Fmarketing%2Fbusiness-applications-smb%23tab-content-3&amp;data=02%7C01%7Cpamelajo%40microsoft.com%7C8ed41026dd9e4194617d08d7db3a472c%7C72f988bf86f141af91ab2d7cd011db47%7C1%7C0%7C637218916643059954&amp;sdata=77r9MOc6Kzy5HUEB1%2BKP%2Bb3E9JI40595FI3oD2e%2ByQk%3D&amp;reserved=0"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7.png" Id="rId15" /><Relationship Type="http://schemas.openxmlformats.org/officeDocument/2006/relationships/hyperlink" Target="https://nam06.safelinks.protection.outlook.com/?url=https%3A%2F%2Fdocs.microsoft.com%2Fen-us%2Fdynamics365%2Fsales-professional%2Fhelp-hub&amp;data=02%7C01%7Cpamelajo%40microsoft.com%7C8ed41026dd9e4194617d08d7db3a472c%7C72f988bf86f141af91ab2d7cd011db47%7C1%7C0%7C637218916643079863&amp;sdata=MHPLlG4tOtsGl9K9mzaSUebXK7%2FYrAzqjR7sPrr9cpc%3D&amp;reserved=0" TargetMode="External" Id="rId23" /><Relationship Type="http://schemas.openxmlformats.org/officeDocument/2006/relationships/image" Target="media/image2.png" Id="rId10" /><Relationship Type="http://schemas.openxmlformats.org/officeDocument/2006/relationships/image" Target="media/image11.png" Id="rId19"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hyperlink" Target="https://nam06.safelinks.protection.outlook.com/?url=https%3A%2F%2Fwww.youtube.com%2Fwatch%3Fv%3D5mS_J5z9v7o&amp;data=02%7C01%7Cpamelajo%40microsoft.com%7C8ed41026dd9e4194617d08d7db3a472c%7C72f988bf86f141af91ab2d7cd011db47%7C1%7C0%7C637218916643069907&amp;sdata=PcWOQECX3gya9xgbOE%2BmXB23QJRt6OW6C7tWOhbAyY0%3D&amp;reserved=0" TargetMode="External" Id="rId22" /></Relationships>
</file>

<file path=word/theme/theme1.xml><?xml version="1.0" encoding="utf-8"?>
<a:theme xmlns:a="http://schemas.openxmlformats.org/drawingml/2006/main" name="Office Theme">
  <a:themeElements>
    <a:clrScheme name="M365">
      <a:dk1>
        <a:srgbClr val="000000"/>
      </a:dk1>
      <a:lt1>
        <a:sysClr val="window" lastClr="FFFFFF"/>
      </a:lt1>
      <a:dk2>
        <a:srgbClr val="282828"/>
      </a:dk2>
      <a:lt2>
        <a:srgbClr val="F3F3F3"/>
      </a:lt2>
      <a:accent1>
        <a:srgbClr val="0078D4"/>
      </a:accent1>
      <a:accent2>
        <a:srgbClr val="505050"/>
      </a:accent2>
      <a:accent3>
        <a:srgbClr val="F3F3F3"/>
      </a:accent3>
      <a:accent4>
        <a:srgbClr val="E6E6E6"/>
      </a:accent4>
      <a:accent5>
        <a:srgbClr val="D2D2D2"/>
      </a:accent5>
      <a:accent6>
        <a:srgbClr val="B2B2B2"/>
      </a:accent6>
      <a:hlink>
        <a:srgbClr val="0078D4"/>
      </a:hlink>
      <a:folHlink>
        <a:srgbClr val="0078D4"/>
      </a:folHlink>
    </a:clrScheme>
    <a:fontScheme name="Micorosoft">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DCA863804C3944927649924603435A" ma:contentTypeVersion="14" ma:contentTypeDescription="Create a new document." ma:contentTypeScope="" ma:versionID="995020805f212bf1ad2f2c3653371471">
  <xsd:schema xmlns:xsd="http://www.w3.org/2001/XMLSchema" xmlns:xs="http://www.w3.org/2001/XMLSchema" xmlns:p="http://schemas.microsoft.com/office/2006/metadata/properties" xmlns:ns1="http://schemas.microsoft.com/sharepoint/v3" xmlns:ns2="f3f97af0-cc0e-43a2-ba14-17943ec97148" xmlns:ns3="5676521f-c9ca-4343-8c33-ac24b055afc9" targetNamespace="http://schemas.microsoft.com/office/2006/metadata/properties" ma:root="true" ma:fieldsID="e5c1f1fb7253c80f3dad88060eedaa0d" ns1:_="" ns2:_="" ns3:_="">
    <xsd:import namespace="http://schemas.microsoft.com/sharepoint/v3"/>
    <xsd:import namespace="f3f97af0-cc0e-43a2-ba14-17943ec97148"/>
    <xsd:import namespace="5676521f-c9ca-4343-8c33-ac24b055a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97af0-cc0e-43a2-ba14-17943ec97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6521f-c9ca-4343-8c33-ac24b055af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49361-1111-44DD-9B8A-8EF9ED2AB7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7D3DB1-2D7D-4237-92DF-AFD7A7EBB2C1}">
  <ds:schemaRefs>
    <ds:schemaRef ds:uri="http://schemas.microsoft.com/sharepoint/v3/contenttype/forms"/>
  </ds:schemaRefs>
</ds:datastoreItem>
</file>

<file path=customXml/itemProps3.xml><?xml version="1.0" encoding="utf-8"?>
<ds:datastoreItem xmlns:ds="http://schemas.openxmlformats.org/officeDocument/2006/customXml" ds:itemID="{03A3B5AB-E4D4-4EC4-9C2A-8C0BE4798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f97af0-cc0e-43a2-ba14-17943ec97148"/>
    <ds:schemaRef ds:uri="5676521f-c9ca-4343-8c33-ac24b055a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994C1-211D-4D4A-AB01-9478173E25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Christine@theodigogroup.com</dc:creator>
  <keywords/>
  <dc:description/>
  <lastModifiedBy>Katie Bucci</lastModifiedBy>
  <revision>48</revision>
  <dcterms:created xsi:type="dcterms:W3CDTF">2020-04-09T14:53:00.0000000Z</dcterms:created>
  <dcterms:modified xsi:type="dcterms:W3CDTF">2020-05-05T21:12:30.8271297Z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0x010100EADCA863804C3944927649924603435A</vt:lpwstr>
  </property>
  <property fmtid="{D5CDD505-2E9C-101B-9397-08002B2CF9AE}" pid="3" name="Order">
    <vt:r8>1798500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